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3.xml" ContentType="application/vnd.openxmlformats-officedocument.customXml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end"/>
        <w:rPr>
          <w:rFonts w:ascii="Corbel" w:hAnsi="Corbel"/>
          <w:i/>
          <w:i/>
          <w:iCs/>
        </w:rPr>
      </w:pPr>
      <w:r>
        <w:rPr>
          <w:rFonts w:ascii="Corbel" w:hAnsi="Corbel"/>
          <w:i/>
          <w:iCs/>
        </w:rPr>
        <w:t>Załącznik nr 1.5 do Zarządzenia Rektora UR  nr 61/2025</w:t>
      </w:r>
    </w:p>
    <w:p>
      <w:pPr>
        <w:pStyle w:val="Normal"/>
        <w:spacing w:lineRule="auto" w:line="240" w:before="0" w:after="0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>
      <w:pPr>
        <w:pStyle w:val="Normal"/>
        <w:spacing w:lineRule="exact" w:line="240" w:before="0" w:after="0"/>
        <w:jc w:val="center"/>
        <w:rPr>
          <w:rFonts w:ascii="Corbel" w:hAnsi="Corbel"/>
          <w:i/>
          <w:i/>
          <w:iCs/>
          <w:smallCaps/>
        </w:rPr>
      </w:pPr>
      <w:r>
        <w:rPr>
          <w:rFonts w:ascii="Corbel" w:hAnsi="Corbel"/>
          <w:b/>
          <w:bCs/>
          <w:smallCaps/>
        </w:rPr>
        <w:t>dotyczy cyklu kształcenia</w:t>
      </w:r>
      <w:r>
        <w:rPr>
          <w:rFonts w:ascii="Corbel" w:hAnsi="Corbel"/>
          <w:b/>
          <w:bCs/>
          <w:smallCaps/>
          <w:color w:val="000000"/>
        </w:rPr>
        <w:t xml:space="preserve"> </w:t>
      </w:r>
      <w:r>
        <w:rPr>
          <w:rFonts w:ascii="Corbel" w:hAnsi="Corbel"/>
          <w:i/>
          <w:iCs/>
          <w:smallCaps/>
          <w:color w:val="000000"/>
        </w:rPr>
        <w:t>2026-2031</w:t>
      </w:r>
    </w:p>
    <w:p>
      <w:pPr>
        <w:pStyle w:val="Normal"/>
        <w:spacing w:lineRule="exact" w:line="240" w:before="0" w:after="0"/>
        <w:jc w:val="both"/>
        <w:rPr>
          <w:rFonts w:ascii="Corbel" w:hAnsi="Corbel"/>
          <w:color w:val="000000"/>
        </w:rPr>
      </w:pPr>
      <w:r>
        <w:rPr>
          <w:rFonts w:ascii="Corbel" w:hAnsi="Corbel"/>
          <w:i/>
          <w:color w:val="000000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color w:val="000000"/>
        </w:rPr>
        <w:t>(skrajne daty</w:t>
      </w:r>
      <w:r>
        <w:rPr>
          <w:rFonts w:ascii="Corbel" w:hAnsi="Corbel"/>
          <w:color w:val="000000"/>
        </w:rPr>
        <w:t>)</w:t>
      </w:r>
    </w:p>
    <w:p>
      <w:pPr>
        <w:pStyle w:val="Normal"/>
        <w:spacing w:lineRule="exact" w:line="240" w:before="0" w:after="0"/>
        <w:jc w:val="both"/>
        <w:rPr>
          <w:rFonts w:ascii="Corbel" w:hAnsi="Corbel"/>
          <w:color w:val="000000"/>
        </w:rPr>
      </w:pPr>
      <w:r>
        <w:rPr>
          <w:rFonts w:ascii="Corbel" w:hAnsi="Corbel"/>
          <w:color w:val="000000"/>
        </w:rPr>
        <w:tab/>
        <w:tab/>
        <w:tab/>
        <w:tab/>
        <w:t>Rok akademicki   2027/2028 i 2028/2029</w:t>
      </w:r>
    </w:p>
    <w:p>
      <w:pPr>
        <w:pStyle w:val="Normal"/>
        <w:spacing w:lineRule="auto" w:line="240" w:before="0" w:after="0"/>
        <w:rPr>
          <w:rFonts w:ascii="Corbel" w:hAnsi="Corbel"/>
        </w:rPr>
      </w:pPr>
      <w:r>
        <w:rPr>
          <w:rFonts w:ascii="Corbel" w:hAnsi="Corbel"/>
        </w:rPr>
      </w:r>
    </w:p>
    <w:p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jc w:val="start"/>
        <w:tblInd w:w="7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2679"/>
        <w:gridCol w:w="7102"/>
      </w:tblGrid>
      <w:tr>
        <w:trPr/>
        <w:tc>
          <w:tcPr>
            <w:tcW w:w="2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color w:themeColor="text1" w:val="000000"/>
                <w:sz w:val="24"/>
                <w:szCs w:val="24"/>
              </w:rPr>
            </w:pPr>
            <w:r>
              <w:rPr>
                <w:rFonts w:ascii="Corbel" w:hAnsi="Corbel"/>
                <w:color w:themeColor="text1" w:val="000000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color w:themeColor="text1" w:val="000000"/>
                <w:sz w:val="24"/>
                <w:szCs w:val="24"/>
              </w:rPr>
            </w:pPr>
            <w:r>
              <w:rPr>
                <w:rFonts w:ascii="Corbel" w:hAnsi="Corbel"/>
                <w:b w:val="false"/>
                <w:color w:themeColor="text1" w:val="000000"/>
                <w:sz w:val="24"/>
                <w:szCs w:val="24"/>
              </w:rPr>
              <w:t>Praktyka wychowawczo – dydaktyczna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lineRule="exact" w:line="240" w:before="0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Wydział Pedagogiki i Filozofii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Instytut Pedagogiki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Pedagogika Przedszkolna i Wczesnoszkolna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jednolite studia magisterskie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Praktyczny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Stacjonarne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Rok II  i III  semestr 4 i 5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J. Praktyki zawodowe.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Polski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dr Bożena Dusza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dr Bożena Maj – Tatsis</w:t>
            </w:r>
          </w:p>
        </w:tc>
      </w:tr>
    </w:tbl>
    <w:p>
      <w:pPr>
        <w:pStyle w:val="Podpunkty"/>
        <w:spacing w:beforeAutospacing="1" w:afterAutospacing="1"/>
        <w:ind w:star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false"/>
          <w:i/>
          <w:sz w:val="24"/>
          <w:szCs w:val="24"/>
        </w:rPr>
        <w:t>opcjonalni</w:t>
      </w:r>
      <w:r>
        <w:rPr>
          <w:rFonts w:ascii="Corbel" w:hAnsi="Corbel"/>
          <w:b w:val="false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false"/>
          <w:i/>
          <w:sz w:val="24"/>
          <w:szCs w:val="24"/>
        </w:rPr>
        <w:t>zgodnie z ustaleniami w Jednostce</w:t>
      </w:r>
    </w:p>
    <w:p>
      <w:pPr>
        <w:pStyle w:val="Podpunkty"/>
        <w:ind w:star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p>
      <w:pPr>
        <w:pStyle w:val="Podpunkty"/>
        <w:ind w:star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>
      <w:pPr>
        <w:pStyle w:val="Podpunkty"/>
        <w:ind w:star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tbl>
      <w:tblPr>
        <w:tblW w:w="9062" w:type="dxa"/>
        <w:jc w:val="start"/>
        <w:tblInd w:w="113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1188"/>
        <w:gridCol w:w="730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>
        <w:trPr/>
        <w:tc>
          <w:tcPr>
            <w:tcW w:w="11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agwkitablic"/>
              <w:spacing w:lineRule="auto" w:line="24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73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>
        <w:trPr>
          <w:trHeight w:val="453" w:hRule="atLeast"/>
        </w:trPr>
        <w:tc>
          <w:tcPr>
            <w:tcW w:w="11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entralniewrubryce"/>
              <w:spacing w:before="0" w:after="0"/>
              <w:jc w:val="start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4 sem.,</w:t>
            </w:r>
          </w:p>
          <w:p>
            <w:pPr>
              <w:pStyle w:val="centralniewrubryce"/>
              <w:spacing w:before="0" w:after="0"/>
              <w:jc w:val="start"/>
              <w:rPr>
                <w:rFonts w:ascii="Corbel" w:hAnsi="Corbel"/>
                <w:color w:val="BF0041"/>
                <w:sz w:val="24"/>
                <w:szCs w:val="24"/>
              </w:rPr>
            </w:pPr>
            <w:r>
              <w:rPr>
                <w:rFonts w:ascii="Corbel" w:hAnsi="Corbel"/>
                <w:color w:val="BF0041"/>
                <w:sz w:val="24"/>
                <w:szCs w:val="24"/>
              </w:rPr>
            </w:r>
          </w:p>
        </w:tc>
        <w:tc>
          <w:tcPr>
            <w:tcW w:w="73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5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9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  <w:tc>
          <w:tcPr>
            <w:tcW w:w="11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13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>
        <w:trPr>
          <w:trHeight w:val="453" w:hRule="atLeast"/>
        </w:trPr>
        <w:tc>
          <w:tcPr>
            <w:tcW w:w="118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entralniewrubryce"/>
              <w:spacing w:before="0" w:after="0"/>
              <w:jc w:val="start"/>
              <w:rPr>
                <w:rFonts w:ascii="Corbel" w:hAnsi="Corbel"/>
                <w:color w:val="BF0041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5  sem.</w:t>
            </w:r>
          </w:p>
        </w:tc>
        <w:tc>
          <w:tcPr>
            <w:tcW w:w="73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2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85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5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9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68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9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  <w:tc>
          <w:tcPr>
            <w:tcW w:w="11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131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>
        <w:trPr>
          <w:trHeight w:val="453" w:hRule="atLeast"/>
        </w:trPr>
        <w:tc>
          <w:tcPr>
            <w:tcW w:w="118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entralniewrubryce"/>
              <w:spacing w:before="0" w:after="0"/>
              <w:jc w:val="start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Razem</w:t>
            </w:r>
          </w:p>
        </w:tc>
        <w:tc>
          <w:tcPr>
            <w:tcW w:w="73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2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85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5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9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68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9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210</w:t>
            </w:r>
          </w:p>
        </w:tc>
        <w:tc>
          <w:tcPr>
            <w:tcW w:w="111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131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>
      <w:pPr>
        <w:pStyle w:val="Podpunkty"/>
        <w:ind w:start="0"/>
        <w:rPr>
          <w:rFonts w:ascii="Corbel" w:hAnsi="Corbel"/>
          <w:b w:val="false"/>
          <w:sz w:val="24"/>
          <w:szCs w:val="24"/>
          <w:lang w:eastAsia="en-US"/>
        </w:rPr>
      </w:pPr>
      <w:r>
        <w:rPr>
          <w:rFonts w:ascii="Corbel" w:hAnsi="Corbel"/>
          <w:b w:val="false"/>
          <w:sz w:val="24"/>
          <w:szCs w:val="24"/>
          <w:lang w:eastAsia="en-US"/>
        </w:rPr>
      </w:r>
    </w:p>
    <w:p>
      <w:pPr>
        <w:pStyle w:val="Podpunkty"/>
        <w:rPr>
          <w:rFonts w:ascii="Corbel" w:hAnsi="Corbel"/>
          <w:b w:val="false"/>
          <w:sz w:val="24"/>
          <w:szCs w:val="24"/>
          <w:lang w:eastAsia="en-US"/>
        </w:rPr>
      </w:pPr>
      <w:r>
        <w:rPr>
          <w:rFonts w:ascii="Corbel" w:hAnsi="Corbel"/>
          <w:b w:val="false"/>
          <w:sz w:val="24"/>
          <w:szCs w:val="24"/>
          <w:lang w:eastAsia="en-US"/>
        </w:rPr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start="284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1.2.</w:t>
        <w:tab/>
        <w:t xml:space="preserve">Sposób realizacji zajęć  </w:t>
      </w:r>
    </w:p>
    <w:p>
      <w:pPr>
        <w:pStyle w:val="Punktygwne"/>
        <w:spacing w:before="0" w:after="0"/>
        <w:ind w:start="709"/>
        <w:rPr>
          <w:rFonts w:ascii="Corbel" w:hAnsi="Corbel"/>
          <w:b w:val="false"/>
          <w:caps w:val="false"/>
          <w:smallCaps w:val="false"/>
          <w:szCs w:val="24"/>
          <w:u w:val="single"/>
        </w:rPr>
      </w:pPr>
      <w:r>
        <w:rPr>
          <w:rFonts w:eastAsia="MS Gothic" w:cs="Segoe UI Symbol" w:ascii="Segoe UI Symbol" w:hAnsi="Segoe UI Symbol"/>
          <w:b w:val="false"/>
          <w:szCs w:val="24"/>
          <w:u w:val="single"/>
        </w:rPr>
        <w:t>☒</w:t>
      </w:r>
      <w:r>
        <w:rPr>
          <w:rFonts w:ascii="Corbel" w:hAnsi="Corbel"/>
          <w:b w:val="false"/>
          <w:caps w:val="false"/>
          <w:smallCaps w:val="false"/>
          <w:szCs w:val="24"/>
          <w:u w:val="single"/>
        </w:rPr>
        <w:t xml:space="preserve">zajęcia w formie tradycyjnej </w:t>
      </w:r>
    </w:p>
    <w:p>
      <w:pPr>
        <w:pStyle w:val="Punktygwne"/>
        <w:spacing w:before="0" w:after="0"/>
        <w:ind w:start="709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eastAsia="MS Gothic" w:cs="Segoe UI Symbol" w:ascii="Segoe UI Symbol" w:hAnsi="Segoe UI Symbol"/>
          <w:b w:val="false"/>
          <w:szCs w:val="24"/>
        </w:rPr>
        <w:t>☐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</w:t>
      </w:r>
      <w:r>
        <w:rPr>
          <w:rFonts w:ascii="Corbel" w:hAnsi="Corbel"/>
          <w:b w:val="false"/>
          <w:caps w:val="false"/>
          <w:smallCaps w:val="false"/>
          <w:szCs w:val="24"/>
        </w:rPr>
        <w:t>zajęcia realizowane z wykorzystaniem metod i technik kształcenia na odległość</w:t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hanging="425" w:start="709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1.3 </w:t>
        <w:tab/>
        <w:t xml:space="preserve">Forma zaliczenia przedmiotu  (z toku) </w:t>
      </w:r>
      <w:r>
        <w:rPr>
          <w:rFonts w:ascii="Corbel" w:hAnsi="Corbel"/>
          <w:b w:val="false"/>
          <w:caps w:val="false"/>
          <w:smallCaps w:val="false"/>
          <w:szCs w:val="24"/>
        </w:rPr>
        <w:t>– ZALICZENIE Z OCENĄ</w:t>
      </w:r>
    </w:p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jc w:val="start"/>
        <w:tblInd w:w="22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40" w:after="4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Od studenta wymaga się wiedzy i umiejętności związanej z planowaniem i prowadzeniem zajęć dydaktyczno- wychowawczych na poziomie przedszkola i klas I-III szkoły podstawowej; umiejętności komunikacji interpersonalnej;  poprawnego wyrażania się w języku ojczystym; rozumienia zjawisk wychowawczych w oparciu o  wiedzę wyniesioną z przedmiotów obejmujących przygotowanie psychologiczno – pedagogiczne.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</w:r>
    </w:p>
    <w:p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>
      <w:pPr>
        <w:pStyle w:val="Podpunkty"/>
        <w:rPr>
          <w:rFonts w:ascii="Corbel" w:hAnsi="Corbel"/>
          <w:b w:val="false"/>
          <w:i/>
          <w:i/>
          <w:sz w:val="24"/>
          <w:szCs w:val="24"/>
        </w:rPr>
      </w:pPr>
      <w:r>
        <w:rPr>
          <w:rFonts w:ascii="Corbel" w:hAnsi="Corbel"/>
          <w:b w:val="false"/>
          <w:i/>
          <w:sz w:val="24"/>
          <w:szCs w:val="24"/>
        </w:rPr>
      </w:r>
    </w:p>
    <w:tbl>
      <w:tblPr>
        <w:tblW w:w="8954" w:type="dxa"/>
        <w:jc w:val="start"/>
        <w:tblInd w:w="22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813"/>
        <w:gridCol w:w="8141"/>
      </w:tblGrid>
      <w:tr>
        <w:trPr/>
        <w:tc>
          <w:tcPr>
            <w:tcW w:w="8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jc w:val="star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jc w:val="star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Praktyczne przygotowanie studentów do wykonywania zawodu nauczyciela przedszkola i klas I-III szkoły podstawowej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jc w:val="star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jc w:val="star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Zapoznanie ze specyfiką funkcjonowania placówki przedszkolnej i szkoły podstawowej oraz metodycznymi założeniami pracy nauczyciela - wychowawcy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le"/>
              <w:spacing w:before="40" w:after="40"/>
              <w:ind w:hanging="0" w:start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1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jc w:val="star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Projektowanie i prowadzenie działań wychowawczych i dydaktycznych w przedszkolu i kl. I-III szkoły podstawowej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le"/>
              <w:spacing w:before="40" w:after="40"/>
              <w:ind w:hanging="0" w:start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1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jc w:val="star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Rozwijanie umiejętności i kompetencji studentów gwarantujących właściwe wykonywanie pracy nauczyciela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color w:val="000000"/>
          <w:szCs w:val="24"/>
        </w:rPr>
      </w:pPr>
      <w:r>
        <w:rPr>
          <w:rFonts w:ascii="Corbel" w:hAnsi="Corbel"/>
          <w:b w:val="false"/>
          <w:caps w:val="false"/>
          <w:smallCaps w:val="false"/>
          <w:color w:val="000000"/>
          <w:szCs w:val="24"/>
        </w:rPr>
      </w:r>
    </w:p>
    <w:p>
      <w:pPr>
        <w:pStyle w:val="Normal"/>
        <w:spacing w:lineRule="auto" w:line="240" w:before="0" w:after="0"/>
        <w:ind w:star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>
      <w:pPr>
        <w:pStyle w:val="Normal"/>
        <w:spacing w:lineRule="auto" w:line="240" w:before="0" w:after="0"/>
        <w:rPr>
          <w:rFonts w:ascii="Corbel" w:hAnsi="Corbel"/>
        </w:rPr>
      </w:pPr>
      <w:r>
        <w:rPr>
          <w:rFonts w:ascii="Corbel" w:hAnsi="Corbel"/>
        </w:rPr>
      </w:r>
    </w:p>
    <w:tbl>
      <w:tblPr>
        <w:tblW w:w="8954" w:type="dxa"/>
        <w:jc w:val="start"/>
        <w:tblInd w:w="22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1600"/>
        <w:gridCol w:w="5518"/>
        <w:gridCol w:w="1836"/>
      </w:tblGrid>
      <w:tr>
        <w:trPr/>
        <w:tc>
          <w:tcPr>
            <w:tcW w:w="16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caps w:val="false"/>
                <w:smallCaps w:val="false"/>
                <w:szCs w:val="24"/>
              </w:rPr>
              <w:t>EK</w:t>
            </w: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 (efekt uczenia się)</w:t>
            </w:r>
          </w:p>
        </w:tc>
        <w:tc>
          <w:tcPr>
            <w:tcW w:w="55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Treść efektu uczenia się zdefiniowanego dla przedmiotu</w:t>
            </w:r>
          </w:p>
        </w:tc>
        <w:tc>
          <w:tcPr>
            <w:tcW w:w="18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Odniesienie do efektów  kierunkowych </w:t>
            </w:r>
            <w:r>
              <w:rPr>
                <w:rStyle w:val="FootnoteReference"/>
                <w:rFonts w:ascii="Corbel" w:hAnsi="Corbel"/>
                <w:b w:val="false"/>
                <w:caps w:val="false"/>
                <w:smallCaps w:val="false"/>
                <w:szCs w:val="24"/>
              </w:rPr>
              <w:footnoteReference w:id="2"/>
            </w:r>
          </w:p>
        </w:tc>
      </w:tr>
      <w:tr>
        <w:trPr/>
        <w:tc>
          <w:tcPr>
            <w:tcW w:w="16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</w:t>
              <w:softHyphen/>
              <w:t>_01</w:t>
            </w:r>
          </w:p>
        </w:tc>
        <w:tc>
          <w:tcPr>
            <w:tcW w:w="55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  <w:color w:val="00000A"/>
              </w:rPr>
              <w:t>W  zakresie wiedzy student zna i rozumie:</w:t>
            </w:r>
          </w:p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J.1.2.W1. codzienną rolę nauczyciela w organizowaniu środowiska wychowania i uczenia się dzieci lub uczniów oraz jego warsztat pracy;</w:t>
            </w:r>
          </w:p>
        </w:tc>
        <w:tc>
          <w:tcPr>
            <w:tcW w:w="18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PPW.W10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PPiW.W16</w:t>
            </w:r>
          </w:p>
        </w:tc>
      </w:tr>
      <w:tr>
        <w:trPr/>
        <w:tc>
          <w:tcPr>
            <w:tcW w:w="16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EK_02</w:t>
            </w:r>
          </w:p>
        </w:tc>
        <w:tc>
          <w:tcPr>
            <w:tcW w:w="55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J.1.2.W2. kontekstowość, otwartość i zmienność codziennych działań wychowawczych i dydaktycznych nauczyciela</w:t>
            </w:r>
          </w:p>
        </w:tc>
        <w:tc>
          <w:tcPr>
            <w:tcW w:w="18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PPiW.W10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PPiW.W16</w:t>
            </w:r>
          </w:p>
        </w:tc>
      </w:tr>
      <w:tr>
        <w:trPr/>
        <w:tc>
          <w:tcPr>
            <w:tcW w:w="16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EK_03</w:t>
            </w:r>
          </w:p>
        </w:tc>
        <w:tc>
          <w:tcPr>
            <w:tcW w:w="55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  <w:color w:val="00000A"/>
              </w:rPr>
              <w:t>W zakresie umiejętności student  potrafi:</w:t>
            </w:r>
          </w:p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J.1.2.U1. wykorzystać wiedzę pedagogiczną i przedmiotową do samodzielnego planowania i realizowania pracy wychowawczo-dydaktycznej w przedszkolu i klasach I–III szkoły podstawowej (w skali rocznej, tygodniowej i dziennej), a także projektowania i prowadzenia działań wychowawczo-dydaktycznych w przedszkolu i szkole podstawowej;</w:t>
            </w:r>
          </w:p>
        </w:tc>
        <w:tc>
          <w:tcPr>
            <w:tcW w:w="18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PPiW.U01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PPiW.U06 PPiW.U07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PPiW.U08 PPiW.U10</w:t>
            </w:r>
          </w:p>
        </w:tc>
      </w:tr>
      <w:tr>
        <w:trPr/>
        <w:tc>
          <w:tcPr>
            <w:tcW w:w="16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EK_04</w:t>
            </w:r>
          </w:p>
        </w:tc>
        <w:tc>
          <w:tcPr>
            <w:tcW w:w="55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J.1.2.U2. poddać refleksji i ocenić skuteczność swoich działań edukacyjnych pod kątem</w:t>
            </w:r>
          </w:p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realizacji celów wychowania i kształcenia oraz stosowanych metod i środków dydaktycznych.</w:t>
            </w:r>
          </w:p>
        </w:tc>
        <w:tc>
          <w:tcPr>
            <w:tcW w:w="18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PPiW.U04 PPiW.U09</w:t>
            </w:r>
          </w:p>
        </w:tc>
      </w:tr>
      <w:tr>
        <w:trPr/>
        <w:tc>
          <w:tcPr>
            <w:tcW w:w="16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EK_05</w:t>
            </w:r>
          </w:p>
        </w:tc>
        <w:tc>
          <w:tcPr>
            <w:tcW w:w="55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  <w:color w:val="00000A"/>
              </w:rPr>
              <w:t>W zakresie kompetencji społecznych student jest gotów do:</w:t>
            </w:r>
          </w:p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J.1.2.K1. rozwijania swojego przygotowania merytorycznego we współpracy z nauczycielami i specjalistami.</w:t>
            </w:r>
          </w:p>
        </w:tc>
        <w:tc>
          <w:tcPr>
            <w:tcW w:w="18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PPiW.K01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PP iW.K04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ListParagraph"/>
        <w:spacing w:lineRule="auto" w:line="240"/>
        <w:ind w:start="0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>
      <w:pPr>
        <w:pStyle w:val="ListParagraph"/>
        <w:numPr>
          <w:ilvl w:val="0"/>
          <w:numId w:val="3"/>
        </w:numPr>
        <w:spacing w:lineRule="auto" w:line="240" w:before="0" w:after="120"/>
        <w:contextualSpacing/>
        <w:jc w:val="both"/>
        <w:rPr>
          <w:rFonts w:ascii="Corbel" w:hAnsi="Corbel"/>
        </w:rPr>
      </w:pPr>
      <w:r>
        <w:rPr>
          <w:rFonts w:ascii="Corbel" w:hAnsi="Corbel"/>
        </w:rPr>
        <w:t>Problematyka zajęć praktycznych</w:t>
      </w:r>
    </w:p>
    <w:p>
      <w:pPr>
        <w:pStyle w:val="ListParagraph"/>
        <w:spacing w:lineRule="auto" w:line="240" w:before="0" w:after="120"/>
        <w:ind w:start="1080"/>
        <w:contextualSpacing/>
        <w:jc w:val="both"/>
        <w:rPr>
          <w:rFonts w:ascii="Corbel" w:hAnsi="Corbel"/>
        </w:rPr>
      </w:pPr>
      <w:r>
        <w:rPr>
          <w:rFonts w:ascii="Corbel" w:hAnsi="Corbel"/>
        </w:rPr>
      </w:r>
    </w:p>
    <w:tbl>
      <w:tblPr>
        <w:tblW w:w="8954" w:type="dxa"/>
        <w:jc w:val="start"/>
        <w:tblInd w:w="22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firstLine="250" w:start="-25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Zapoznanie z prawnymi podstawami pracy przedszkola i szkoły, a także zatrudnionych w nich nauczycieli.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firstLine="250" w:start="-25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zajęć odbywających się w przedszkolu i szkole.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Aktywne włączanie się w realizację zadań placówki – udzielanie pomocy zatrudnionym w niej pracownikom.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firstLine="250" w:start="-25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Samodzielne przygotowanie i prowadzenie zajęć oraz prowadzenie wymaganej dokumentacji.</w:t>
            </w:r>
          </w:p>
        </w:tc>
      </w:tr>
    </w:tbl>
    <w:p>
      <w:pPr>
        <w:pStyle w:val="Normal"/>
        <w:spacing w:lineRule="auto" w:line="240" w:before="0" w:after="0"/>
        <w:rPr>
          <w:rFonts w:ascii="Corbel" w:hAnsi="Corbel"/>
        </w:rPr>
      </w:pPr>
      <w:r>
        <w:rPr>
          <w:rFonts w:ascii="Corbel" w:hAnsi="Corbel"/>
        </w:rPr>
      </w:r>
    </w:p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ind w:start="426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3.4 Metody dydaktyczne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  <w:t>Zajęcia praktyczne</w:t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4. METODY I KRYTERIA OCENY </w:t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spacing w:before="0" w:after="0"/>
        <w:ind w:star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4.1 Sposoby weryfikacji efektów uczenia się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tbl>
      <w:tblPr>
        <w:tblW w:w="8954" w:type="dxa"/>
        <w:jc w:val="start"/>
        <w:tblInd w:w="22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1854"/>
        <w:gridCol w:w="5028"/>
        <w:gridCol w:w="2072"/>
      </w:tblGrid>
      <w:tr>
        <w:trPr/>
        <w:tc>
          <w:tcPr>
            <w:tcW w:w="18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Symbol efektu</w:t>
            </w:r>
          </w:p>
        </w:tc>
        <w:tc>
          <w:tcPr>
            <w:tcW w:w="50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Metody oceny efektów uczenia sie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Forma zajęć dydaktycznych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(w, ćw, …)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ek_ 01</w:t>
            </w:r>
          </w:p>
        </w:tc>
        <w:tc>
          <w:tcPr>
            <w:tcW w:w="50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Opinia opiekuna praktyki w placówce, analiza dokumentacji praktyki</w:t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Ek_ 02</w:t>
            </w:r>
          </w:p>
        </w:tc>
        <w:tc>
          <w:tcPr>
            <w:tcW w:w="50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Opinia opiekuna praktyki w placówce, analiza dokumentacji praktyki</w:t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Ek_03</w:t>
            </w:r>
          </w:p>
        </w:tc>
        <w:tc>
          <w:tcPr>
            <w:tcW w:w="50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Opinia opiekuna praktyki w placówce, analiza dokumentacji praktyki</w:t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Ek_04</w:t>
            </w:r>
          </w:p>
        </w:tc>
        <w:tc>
          <w:tcPr>
            <w:tcW w:w="50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Opinia opiekuna praktyki w placówce, analiza dokumentacji praktyki</w:t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Ek_05</w:t>
            </w:r>
          </w:p>
        </w:tc>
        <w:tc>
          <w:tcPr>
            <w:tcW w:w="50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Opinia opiekuna praktyki w placówce, analiza dokumentacji praktyki</w:t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star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4.2 Warunki zaliczenia przedmiotu (kryteria oceniania) </w:t>
      </w:r>
    </w:p>
    <w:p>
      <w:pPr>
        <w:pStyle w:val="Punktygwne"/>
        <w:spacing w:before="0" w:after="0"/>
        <w:ind w:star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8954" w:type="dxa"/>
        <w:jc w:val="start"/>
        <w:tblInd w:w="22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Pozytywna opinia i ocena dokonana przez opiekuna praktykanta w przedszkolu i w szkole oraz poprawne opracowanie dokumentacji praktyk.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NoSpacing"/>
        <w:ind w:hanging="284" w:start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tbl>
      <w:tblPr>
        <w:tblW w:w="8954" w:type="dxa"/>
        <w:jc w:val="start"/>
        <w:tblInd w:w="22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4619"/>
        <w:gridCol w:w="4335"/>
      </w:tblGrid>
      <w:tr>
        <w:trPr/>
        <w:tc>
          <w:tcPr>
            <w:tcW w:w="46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>
        <w:trPr/>
        <w:tc>
          <w:tcPr>
            <w:tcW w:w="46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z harmonogramu studiów</w:t>
            </w:r>
          </w:p>
        </w:tc>
        <w:tc>
          <w:tcPr>
            <w:tcW w:w="43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210</w:t>
            </w:r>
          </w:p>
        </w:tc>
      </w:tr>
      <w:tr>
        <w:trPr/>
        <w:tc>
          <w:tcPr>
            <w:tcW w:w="46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Inne z udziałem nauczyciela akademickiego</w:t>
            </w:r>
          </w:p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(udział w spotkaniu z opiekunem z ramienia uczelni)</w:t>
            </w:r>
          </w:p>
        </w:tc>
        <w:tc>
          <w:tcPr>
            <w:tcW w:w="43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>
        <w:trPr/>
        <w:tc>
          <w:tcPr>
            <w:tcW w:w="46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(przygotowanie do zajęć, opracowanie dokumentacji praktyk)</w:t>
            </w:r>
          </w:p>
        </w:tc>
        <w:tc>
          <w:tcPr>
            <w:tcW w:w="43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28</w:t>
            </w:r>
          </w:p>
        </w:tc>
      </w:tr>
      <w:tr>
        <w:trPr/>
        <w:tc>
          <w:tcPr>
            <w:tcW w:w="46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240</w:t>
            </w:r>
          </w:p>
        </w:tc>
      </w:tr>
      <w:tr>
        <w:trPr/>
        <w:tc>
          <w:tcPr>
            <w:tcW w:w="46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</w:p>
        </w:tc>
      </w:tr>
    </w:tbl>
    <w:p>
      <w:pPr>
        <w:pStyle w:val="Punktygwne"/>
        <w:spacing w:before="0" w:after="0"/>
        <w:ind w:start="426"/>
        <w:rPr>
          <w:rFonts w:ascii="Corbel" w:hAnsi="Corbel"/>
          <w:b w:val="false"/>
          <w:i/>
          <w:i/>
          <w:caps w:val="false"/>
          <w:smallCaps w:val="false"/>
          <w:szCs w:val="24"/>
        </w:rPr>
      </w:pPr>
      <w:r>
        <w:rPr>
          <w:rFonts w:ascii="Corbel" w:hAnsi="Corbel"/>
          <w:b w:val="false"/>
          <w:i/>
          <w:caps w:val="false"/>
          <w:smallCaps w:val="false"/>
          <w:szCs w:val="24"/>
        </w:rPr>
        <w:t>* Należy uwzględnić, że 1 pkt ECTS odpowiada 25-30 godzin całkowitego nakładu pracy studenta.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6. PRAKTYKI ZAWODOWE W RAMACH PRZEDMIOTU</w:t>
      </w:r>
    </w:p>
    <w:p>
      <w:pPr>
        <w:pStyle w:val="Punktygwne"/>
        <w:spacing w:before="0" w:after="0"/>
        <w:ind w:start="36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7514" w:type="dxa"/>
        <w:jc w:val="start"/>
        <w:tblInd w:w="78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3544"/>
        <w:gridCol w:w="3970"/>
      </w:tblGrid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210</w:t>
            </w:r>
          </w:p>
        </w:tc>
      </w:tr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Szczegółowe zasady i formy odbywania praktyki zawarte są w programie praktyk</w:t>
            </w:r>
          </w:p>
        </w:tc>
      </w:tr>
    </w:tbl>
    <w:p>
      <w:pPr>
        <w:pStyle w:val="Punktygwne"/>
        <w:spacing w:before="0" w:after="0"/>
        <w:ind w:star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7. LITERATURA </w:t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7514" w:type="dxa"/>
        <w:jc w:val="start"/>
        <w:tblInd w:w="78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7514"/>
      </w:tblGrid>
      <w:tr>
        <w:trPr>
          <w:trHeight w:val="397" w:hRule="atLeast"/>
        </w:trPr>
        <w:tc>
          <w:tcPr>
            <w:tcW w:w="75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Literatura podstawowa: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Gruszczyk-Kolczyńska E., Zielińska E.,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Zajęcia dydaktyczno-wychowawcze dla dzieci, które rozpoczną naukę w szkole.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 Warszawa, Edukacja Polska, 2009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Jachimska Małgorzata (Opracowanie):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Grupa bawi się  i pracuje.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 Wałbrzych 1994, UNU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Naprawa R.iin.,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szCs w:val="24"/>
              </w:rPr>
              <w:t xml:space="preserve">Ja też to potrafię. Program zajęć kompensacyjno-korekcyjnych dla uczniów edukacji  wczesnoszkolnej </w:t>
            </w: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.Wyd. Harmonia, Gdańsk 2012.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PaszkiewiczA., Łobacz M.,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szCs w:val="24"/>
              </w:rPr>
              <w:t>Uczeń o specjalnych potrzebach wychowawczych w klasie szkolnej</w:t>
            </w: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, Warszawa 2013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Rozwijanie kompetencji kluczowych uczniów w procesie edukacji wczesnoszkolnej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, pod red. J. Uszyńskiej-Jarmoc, B. Dudel i M. Głoskowskiej-Sołdatow. Kraków:  Impuls, 2013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Sowiło M.,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szCs w:val="24"/>
              </w:rPr>
              <w:t xml:space="preserve">O warsztacie pracy nauczyciela – wychowawcy, </w:t>
            </w: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Kraków Impuls  2003</w:t>
            </w:r>
          </w:p>
        </w:tc>
      </w:tr>
      <w:tr>
        <w:trPr>
          <w:trHeight w:val="397" w:hRule="atLeast"/>
        </w:trPr>
        <w:tc>
          <w:tcPr>
            <w:tcW w:w="75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Literatura uzupełniająca: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Bartal A., Nitsch C.,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 xml:space="preserve"> Zabawy dla maluchów, 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Kielce  Jedność 2003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142" w:start="176"/>
              <w:rPr>
                <w:rFonts w:ascii="Corbel" w:hAnsi="Corbel"/>
                <w:b w:val="false"/>
                <w:i/>
                <w:i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Gruszczyk-Kolczyńska E.,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 xml:space="preserve">Wspomaganie dziecka w skupieniu uwagi i zapamiętywaniu 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Warszawa, WSiP,2005</w:t>
            </w:r>
          </w:p>
        </w:tc>
      </w:tr>
    </w:tbl>
    <w:p>
      <w:pPr>
        <w:pStyle w:val="Punktygwne"/>
        <w:spacing w:before="0" w:after="0"/>
        <w:ind w:star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star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star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  <w:t>Akceptacja Kierownika Jednostki lub osoby upoważnionej</w:t>
      </w:r>
    </w:p>
    <w:sectPr>
      <w:footnotePr>
        <w:numFmt w:val="decimal"/>
      </w:footnote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Aptos">
    <w:charset w:val="ee" w:characterSet="windows-1250"/>
    <w:family w:val="roman"/>
    <w:pitch w:val="variable"/>
  </w:font>
  <w:font w:name="Aptos Display"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Corbel">
    <w:charset w:val="ee" w:characterSet="windows-1250"/>
    <w:family w:val="swiss"/>
    <w:pitch w:val="variable"/>
  </w:font>
  <w:font w:name="Segoe UI Symbol">
    <w:charset w:val="ee" w:characterSet="windows-125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"/>
      <w:lvlJc w:val="start"/>
      <w:pPr>
        <w:tabs>
          <w:tab w:val="num" w:pos="0"/>
        </w:tabs>
        <w:ind w:star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51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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upperLetter"/>
      <w:lvlText w:val="%1."/>
      <w:lvlJc w:val="start"/>
      <w:pPr>
        <w:tabs>
          <w:tab w:val="num" w:pos="0"/>
        </w:tabs>
        <w:ind w:start="720" w:hanging="360"/>
      </w:pPr>
      <w:rPr>
        <w:dstrike w:val="false"/>
        <w:strike w:val="false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708c5"/>
    <w:pPr>
      <w:widowControl/>
      <w:suppressAutoHyphens w:val="true"/>
      <w:bidi w:val="0"/>
      <w:spacing w:lineRule="auto" w:line="278" w:before="0" w:after="160"/>
      <w:jc w:val="star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6708c5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6708c5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6708c5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6708c5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6708c5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6708c5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6708c5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6708c5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6708c5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6708c5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6708c5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6708c5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6708c5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6708c5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6708c5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6708c5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6708c5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6708c5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6708c5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6708c5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6708c5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6708c5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6708c5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6708c5"/>
    <w:rPr>
      <w:b/>
      <w:bCs/>
      <w:smallCaps/>
      <w:color w:themeColor="accent1" w:themeShade="bf" w:val="0F4761"/>
      <w:spacing w:val="5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6708c5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Znakiprzypiswdolnychuser" w:customStyle="1">
    <w:name w:val="Znaki przypisów dolnych (user)"/>
    <w:uiPriority w:val="99"/>
    <w:semiHidden/>
    <w:unhideWhenUsed/>
    <w:qFormat/>
    <w:rsid w:val="006708c5"/>
    <w:rPr>
      <w:vertAlign w:val="superscript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6708c5"/>
    <w:rPr/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Znakiprzypiswkocowychuser" w:customStyle="1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kstpodstawowyZnak"/>
    <w:uiPriority w:val="99"/>
    <w:semiHidden/>
    <w:unhideWhenUsed/>
    <w:rsid w:val="006708c5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Nagwekuser" w:customStyle="1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Lucida Sans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itle">
    <w:name w:val="Title"/>
    <w:basedOn w:val="Normal"/>
    <w:next w:val="Normal"/>
    <w:link w:val="TytuZnak"/>
    <w:uiPriority w:val="10"/>
    <w:qFormat/>
    <w:rsid w:val="006708c5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6708c5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6708c5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6708c5"/>
    <w:pPr>
      <w:spacing w:before="0" w:after="160"/>
      <w:ind w:star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6708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start="864" w:end="864"/>
      <w:jc w:val="center"/>
    </w:pPr>
    <w:rPr>
      <w:i/>
      <w:iCs/>
      <w:color w:themeColor="accent1" w:themeShade="bf" w:val="0F4761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6708c5"/>
    <w:pPr>
      <w:spacing w:lineRule="auto" w:line="240" w:before="0" w:after="0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paragraph" w:styleId="Punktygwne" w:customStyle="1">
    <w:name w:val="Punkty główne"/>
    <w:basedOn w:val="Normal"/>
    <w:qFormat/>
    <w:rsid w:val="006708c5"/>
    <w:pPr>
      <w:spacing w:lineRule="auto" w:line="240" w:before="240" w:after="60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BodyText"/>
    <w:qFormat/>
    <w:rsid w:val="006708c5"/>
    <w:pPr>
      <w:tabs>
        <w:tab w:val="clear" w:pos="708"/>
        <w:tab w:val="left" w:pos="-5643" w:leader="none"/>
      </w:tabs>
      <w:overflowPunct w:val="false"/>
      <w:spacing w:lineRule="auto" w:line="240" w:before="40" w:after="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"/>
    <w:qFormat/>
    <w:rsid w:val="006708c5"/>
    <w:pPr>
      <w:spacing w:lineRule="auto" w:line="240" w:before="40" w:after="40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BodyText"/>
    <w:qFormat/>
    <w:rsid w:val="006708c5"/>
    <w:pPr>
      <w:tabs>
        <w:tab w:val="clear" w:pos="708"/>
        <w:tab w:val="left" w:pos="-5814" w:leader="none"/>
      </w:tabs>
      <w:overflowPunct w:val="false"/>
      <w:spacing w:lineRule="auto" w:line="240" w:before="0" w:after="0"/>
      <w:ind w:star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BodyText"/>
    <w:qFormat/>
    <w:rsid w:val="006708c5"/>
    <w:pPr>
      <w:tabs>
        <w:tab w:val="clear" w:pos="708"/>
        <w:tab w:val="left" w:pos="-5814" w:leader="none"/>
        <w:tab w:val="left" w:pos="720" w:leader="none"/>
      </w:tabs>
      <w:overflowPunct w:val="false"/>
      <w:spacing w:lineRule="auto" w:line="240" w:before="120" w:after="0"/>
      <w:ind w:hanging="540" w:start="90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BodyText"/>
    <w:uiPriority w:val="99"/>
    <w:qFormat/>
    <w:rsid w:val="006708c5"/>
    <w:pPr>
      <w:spacing w:lineRule="auto" w:line="276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"/>
    <w:qFormat/>
    <w:rsid w:val="006708c5"/>
    <w:pPr>
      <w:tabs>
        <w:tab w:val="clear" w:pos="708"/>
        <w:tab w:val="left" w:pos="-5814" w:leader="none"/>
      </w:tabs>
      <w:overflowPunct w:val="false"/>
      <w:spacing w:lineRule="auto" w:line="240" w:before="40" w:after="40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oSpacing">
    <w:name w:val="No Spacing"/>
    <w:uiPriority w:val="1"/>
    <w:qFormat/>
    <w:rsid w:val="006708c5"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  <w14:ligatures w14:val="none"/>
    </w:rPr>
  </w:style>
  <w:style w:type="numbering" w:styleId="Bezlistyuser" w:customStyle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<Relationship Id="rId9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AB4D60-EE16-4D87-A232-A5D5A650D7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7CF143B-93A3-4FB8-B651-71B325D3D4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847564-3945-47CF-9950-DA23587116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Application>LibreOffice/25.8.3.2$Windows_x86 LibreOffice_project/8ca8d55c161d602844f5428fa4b58097424e324e</Application>
  <AppVersion>15.0000</AppVersion>
  <Pages>5</Pages>
  <Words>870</Words>
  <Characters>5870</Characters>
  <CharactersWithSpaces>6721</CharactersWithSpaces>
  <Paragraphs>164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2026-02-22T19:49:00Z</dcterms:created>
  <dc:creator>Anna Szczepaniec</dc:creator>
  <dc:description/>
  <dc:language>pl-PL</dc:language>
  <cp:lastModifiedBy/>
  <dcterms:modified xsi:type="dcterms:W3CDTF">2026-03-01T19:47:02Z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